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342197">
        <w:rPr>
          <w:b w:val="0"/>
          <w:sz w:val="28"/>
        </w:rPr>
        <w:t>471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3E698B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342197">
        <w:rPr>
          <w:color w:val="FF0000"/>
          <w:sz w:val="28"/>
        </w:rPr>
        <w:t>15 апреля</w:t>
      </w:r>
      <w:r w:rsidR="00241B30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3E698B" w:rsidR="003E698B">
        <w:rPr>
          <w:sz w:val="28"/>
        </w:rPr>
        <w:t>Устюгова Андрея Валерьевича, * года рождения, уроженца *, гражданина РФ, паспорт *, проживающего по адресу: ХМАО–Югра, *,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17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241B30">
        <w:rPr>
          <w:sz w:val="28"/>
        </w:rPr>
        <w:t>Устюгов А.В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3E698B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3E698B">
        <w:rPr>
          <w:sz w:val="28"/>
        </w:rPr>
        <w:t>*</w:t>
      </w:r>
      <w:r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Устюгов А.В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241B30">
        <w:rPr>
          <w:color w:val="FF0000"/>
          <w:sz w:val="28"/>
        </w:rPr>
        <w:t>Устюгова А.В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342197">
        <w:rPr>
          <w:sz w:val="28"/>
        </w:rPr>
        <w:t>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241B30">
        <w:rPr>
          <w:sz w:val="28"/>
        </w:rPr>
        <w:t>17 ию</w:t>
      </w:r>
      <w:r w:rsidR="00342197">
        <w:rPr>
          <w:sz w:val="28"/>
        </w:rPr>
        <w:t>л</w:t>
      </w:r>
      <w:r w:rsidR="00241B30">
        <w:rPr>
          <w:sz w:val="28"/>
        </w:rPr>
        <w:t>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241B30">
        <w:rPr>
          <w:sz w:val="28"/>
        </w:rPr>
        <w:t>Устюгов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241B30">
        <w:rPr>
          <w:sz w:val="28"/>
        </w:rPr>
        <w:t xml:space="preserve">16 </w:t>
      </w:r>
      <w:r w:rsidR="00342197">
        <w:rPr>
          <w:sz w:val="28"/>
        </w:rPr>
        <w:t>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3E698B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241B30">
        <w:rPr>
          <w:sz w:val="28"/>
        </w:rPr>
        <w:t>Устюговым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3E698B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241B30">
        <w:rPr>
          <w:sz w:val="28"/>
        </w:rPr>
        <w:t>Устюгов А.В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241B30">
        <w:rPr>
          <w:sz w:val="28"/>
        </w:rPr>
        <w:t>Устюгова А.В</w:t>
      </w:r>
      <w:r>
        <w:rPr>
          <w:sz w:val="28"/>
        </w:rPr>
        <w:t xml:space="preserve">. </w:t>
      </w:r>
      <w:r w:rsidR="00241B30">
        <w:rPr>
          <w:sz w:val="28"/>
        </w:rPr>
        <w:t>почтой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241B30">
        <w:rPr>
          <w:sz w:val="28"/>
        </w:rPr>
        <w:t>Устюгов А.В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3E698B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342197">
        <w:rPr>
          <w:sz w:val="28"/>
        </w:rPr>
        <w:t>24 октября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3E698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342197">
        <w:rPr>
          <w:sz w:val="28"/>
        </w:rPr>
        <w:t>24 октября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3E698B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3E698B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3E698B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241B30">
        <w:rPr>
          <w:sz w:val="28"/>
        </w:rPr>
        <w:t>Устюговым А.В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241B30">
        <w:rPr>
          <w:sz w:val="28"/>
        </w:rPr>
        <w:t>Устюгова Андрея Валерьевича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241B30">
        <w:rPr>
          <w:sz w:val="28"/>
        </w:rPr>
        <w:t>Устюгова Андрея Валерьевича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81595B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E698B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739A4"/>
    <w:rsid w:val="00241B30"/>
    <w:rsid w:val="00244C39"/>
    <w:rsid w:val="002710A8"/>
    <w:rsid w:val="00286A91"/>
    <w:rsid w:val="003153E5"/>
    <w:rsid w:val="00342197"/>
    <w:rsid w:val="00347D44"/>
    <w:rsid w:val="003518A5"/>
    <w:rsid w:val="0036753E"/>
    <w:rsid w:val="003E698B"/>
    <w:rsid w:val="00416357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1345A"/>
    <w:rsid w:val="00777C0A"/>
    <w:rsid w:val="007A4B16"/>
    <w:rsid w:val="007B735F"/>
    <w:rsid w:val="00814CED"/>
    <w:rsid w:val="0081595B"/>
    <w:rsid w:val="008245AF"/>
    <w:rsid w:val="008604FB"/>
    <w:rsid w:val="0086422C"/>
    <w:rsid w:val="009631DB"/>
    <w:rsid w:val="00A67F54"/>
    <w:rsid w:val="00AB7158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F30046"/>
    <w:rsid w:val="00F5531F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